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5A9027DA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D310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D310D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D310D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E57F16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59644357" w:rsidR="003107C1" w:rsidRPr="00F551C9" w:rsidRDefault="00E57F16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57F16">
              <w:rPr>
                <w:rFonts w:asciiTheme="minorEastAsia" w:hAnsiTheme="minorEastAsia" w:hint="eastAsia"/>
                <w:sz w:val="22"/>
                <w:szCs w:val="22"/>
              </w:rPr>
              <w:t>曲長跨線橋耐震性能照査検討業務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57F16"/>
    <w:rsid w:val="00E6448A"/>
    <w:rsid w:val="00ED310D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34</cp:revision>
  <cp:lastPrinted>2022-02-04T06:45:00Z</cp:lastPrinted>
  <dcterms:created xsi:type="dcterms:W3CDTF">2020-04-17T07:52:00Z</dcterms:created>
  <dcterms:modified xsi:type="dcterms:W3CDTF">2024-12-02T09:32:00Z</dcterms:modified>
</cp:coreProperties>
</file>